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7366C2" w14:textId="77777777" w:rsidR="005F0400" w:rsidRDefault="00000000">
      <w:pPr>
        <w:pStyle w:val="Heading4"/>
        <w:jc w:val="both"/>
        <w:rPr>
          <w:rFonts w:ascii="Arial Narrow" w:eastAsia="Arial Narrow" w:hAnsi="Arial Narrow" w:cs="Arial Narrow"/>
        </w:rPr>
      </w:pPr>
      <w:bookmarkStart w:id="0" w:name="_heading=h.gjdgxs" w:colFirst="0" w:colLast="0"/>
      <w:bookmarkEnd w:id="0"/>
      <w:r>
        <w:rPr>
          <w:rFonts w:ascii="Arial Narrow" w:eastAsia="Arial Narrow" w:hAnsi="Arial Narrow" w:cs="Arial Narrow"/>
        </w:rPr>
        <w:t>Plant Growth and Development, 15p</w:t>
      </w:r>
    </w:p>
    <w:p w14:paraId="2039C3C6" w14:textId="77777777" w:rsidR="005F0400" w:rsidRDefault="00000000">
      <w:pPr>
        <w:pStyle w:val="Heading4"/>
        <w:jc w:val="both"/>
        <w:rPr>
          <w:rFonts w:ascii="Arial Narrow" w:eastAsia="Arial Narrow" w:hAnsi="Arial Narrow" w:cs="Arial Narrow"/>
        </w:rPr>
      </w:pPr>
      <w:r>
        <w:rPr>
          <w:rFonts w:ascii="Arial Narrow" w:eastAsia="Arial Narrow" w:hAnsi="Arial Narrow" w:cs="Arial Narrow"/>
        </w:rPr>
        <w:t>Swedish University of Agricultural Sciences</w:t>
      </w:r>
    </w:p>
    <w:p w14:paraId="63183C3E" w14:textId="77777777" w:rsidR="005F0400" w:rsidRDefault="00000000">
      <w:pPr>
        <w:jc w:val="both"/>
        <w:rPr>
          <w:rFonts w:ascii="Arial Narrow" w:eastAsia="Arial Narrow" w:hAnsi="Arial Narrow" w:cs="Arial Narrow"/>
          <w:color w:val="000000"/>
        </w:rPr>
      </w:pPr>
      <w:r>
        <w:rPr>
          <w:rFonts w:ascii="Arial Narrow" w:eastAsia="Arial Narrow" w:hAnsi="Arial Narrow" w:cs="Arial Narrow"/>
          <w:color w:val="000000"/>
        </w:rPr>
        <w:t>Department of Plant Biology, SLU, Uppsala</w:t>
      </w:r>
    </w:p>
    <w:p w14:paraId="33CC0D5C" w14:textId="77777777" w:rsidR="005F0400" w:rsidRDefault="005F0400">
      <w:pPr>
        <w:jc w:val="both"/>
        <w:rPr>
          <w:rFonts w:ascii="Arial Narrow" w:eastAsia="Arial Narrow" w:hAnsi="Arial Narrow" w:cs="Arial Narrow"/>
          <w:color w:val="000000"/>
        </w:rPr>
      </w:pPr>
    </w:p>
    <w:p w14:paraId="36295F69" w14:textId="77777777" w:rsidR="005F0400" w:rsidRDefault="00000000">
      <w:pPr>
        <w:spacing w:after="120"/>
        <w:jc w:val="both"/>
        <w:rPr>
          <w:rFonts w:ascii="Arial Narrow" w:eastAsia="Arial Narrow" w:hAnsi="Arial Narrow" w:cs="Arial Narrow"/>
          <w:color w:val="000000"/>
        </w:rPr>
      </w:pPr>
      <w:r>
        <w:rPr>
          <w:rFonts w:ascii="Arial Narrow" w:eastAsia="Arial Narrow" w:hAnsi="Arial Narrow" w:cs="Arial Narrow"/>
          <w:b/>
          <w:color w:val="000000"/>
        </w:rPr>
        <w:t>Teacher</w:t>
      </w:r>
      <w:r>
        <w:rPr>
          <w:rFonts w:ascii="Arial Narrow" w:eastAsia="Arial Narrow" w:hAnsi="Arial Narrow" w:cs="Arial Narrow"/>
          <w:color w:val="000000"/>
        </w:rPr>
        <w:t xml:space="preserve">:   </w:t>
      </w:r>
      <w:r>
        <w:rPr>
          <w:rFonts w:ascii="Arial Narrow" w:eastAsia="Arial Narrow" w:hAnsi="Arial Narrow" w:cs="Arial Narrow"/>
          <w:color w:val="000000"/>
        </w:rPr>
        <w:tab/>
        <w:t xml:space="preserve">Derek Lundberg </w:t>
      </w:r>
      <w:r>
        <w:rPr>
          <w:rFonts w:ascii="Arial Narrow" w:eastAsia="Arial Narrow" w:hAnsi="Arial Narrow" w:cs="Arial Narrow"/>
          <w:color w:val="000000"/>
        </w:rPr>
        <w:tab/>
      </w:r>
      <w:r>
        <w:rPr>
          <w:rFonts w:ascii="Arial Narrow" w:eastAsia="Arial Narrow" w:hAnsi="Arial Narrow" w:cs="Arial Narrow"/>
        </w:rPr>
        <w:t>(</w:t>
      </w:r>
      <w:r>
        <w:rPr>
          <w:rFonts w:ascii="Arial Narrow" w:eastAsia="Arial Narrow" w:hAnsi="Arial Narrow" w:cs="Arial Narrow"/>
          <w:color w:val="000000"/>
        </w:rPr>
        <w:t>derek.lundberg@slu.se)</w:t>
      </w:r>
    </w:p>
    <w:p w14:paraId="6C3E0294" w14:textId="77777777" w:rsidR="005F0400" w:rsidRDefault="00000000">
      <w:pPr>
        <w:spacing w:after="120"/>
        <w:jc w:val="both"/>
        <w:rPr>
          <w:rFonts w:ascii="Arial Narrow" w:eastAsia="Arial Narrow" w:hAnsi="Arial Narrow" w:cs="Arial Narrow"/>
          <w:color w:val="000000"/>
        </w:rPr>
      </w:pPr>
      <w:r>
        <w:rPr>
          <w:rFonts w:ascii="Arial Narrow" w:eastAsia="Arial Narrow" w:hAnsi="Arial Narrow" w:cs="Arial Narrow"/>
          <w:b/>
          <w:color w:val="000000"/>
        </w:rPr>
        <w:t>TAs:</w:t>
      </w:r>
      <w:r>
        <w:rPr>
          <w:rFonts w:ascii="Arial Narrow" w:eastAsia="Arial Narrow" w:hAnsi="Arial Narrow" w:cs="Arial Narrow"/>
          <w:b/>
          <w:color w:val="000000"/>
        </w:rPr>
        <w:tab/>
      </w:r>
      <w:r>
        <w:rPr>
          <w:rFonts w:ascii="Arial Narrow" w:eastAsia="Arial Narrow" w:hAnsi="Arial Narrow" w:cs="Arial Narrow"/>
          <w:color w:val="000000"/>
        </w:rPr>
        <w:t xml:space="preserve">     </w:t>
      </w:r>
      <w:r>
        <w:rPr>
          <w:rFonts w:ascii="Arial Narrow" w:eastAsia="Arial Narrow" w:hAnsi="Arial Narrow" w:cs="Arial Narrow"/>
          <w:color w:val="000000"/>
        </w:rPr>
        <w:tab/>
        <w:t>Aimer G. Diaz (</w:t>
      </w:r>
      <w:hyperlink r:id="rId6">
        <w:r>
          <w:rPr>
            <w:rFonts w:ascii="Arial Narrow" w:eastAsia="Arial Narrow" w:hAnsi="Arial Narrow" w:cs="Arial Narrow"/>
            <w:color w:val="000000"/>
          </w:rPr>
          <w:t>aimer.gutierrez.diaz@slu.se</w:t>
        </w:r>
      </w:hyperlink>
      <w:r>
        <w:rPr>
          <w:rFonts w:ascii="Arial Narrow" w:eastAsia="Arial Narrow" w:hAnsi="Arial Narrow" w:cs="Arial Narrow"/>
          <w:color w:val="000000"/>
        </w:rPr>
        <w:t>)</w:t>
      </w:r>
    </w:p>
    <w:p w14:paraId="21F5D3E4" w14:textId="77777777" w:rsidR="005F0400" w:rsidRDefault="00000000">
      <w:pPr>
        <w:spacing w:after="120"/>
        <w:ind w:left="720" w:firstLine="720"/>
        <w:jc w:val="both"/>
        <w:rPr>
          <w:rFonts w:ascii="Arial Narrow" w:eastAsia="Arial Narrow" w:hAnsi="Arial Narrow" w:cs="Arial Narrow"/>
          <w:color w:val="000000"/>
        </w:rPr>
      </w:pPr>
      <w:r>
        <w:rPr>
          <w:rFonts w:ascii="Arial Narrow" w:eastAsia="Arial Narrow" w:hAnsi="Arial Narrow" w:cs="Arial Narrow"/>
          <w:color w:val="000000"/>
        </w:rPr>
        <w:t>Ezgi Mehmetoglu (</w:t>
      </w:r>
      <w:hyperlink r:id="rId7">
        <w:r>
          <w:rPr>
            <w:rFonts w:ascii="Arial Narrow" w:eastAsia="Arial Narrow" w:hAnsi="Arial Narrow" w:cs="Arial Narrow"/>
            <w:color w:val="000000"/>
          </w:rPr>
          <w:t>ezgi.mehmetoglu@slu.se</w:t>
        </w:r>
      </w:hyperlink>
      <w:r>
        <w:rPr>
          <w:rFonts w:ascii="Arial Narrow" w:eastAsia="Arial Narrow" w:hAnsi="Arial Narrow" w:cs="Arial Narrow"/>
          <w:color w:val="000000"/>
        </w:rPr>
        <w:t>)</w:t>
      </w:r>
    </w:p>
    <w:p w14:paraId="6ECE897F" w14:textId="77777777" w:rsidR="005F0400" w:rsidRPr="008B03DA" w:rsidRDefault="00000000">
      <w:pPr>
        <w:spacing w:after="120"/>
        <w:ind w:left="720" w:firstLine="720"/>
        <w:jc w:val="both"/>
        <w:rPr>
          <w:rFonts w:ascii="Arial Narrow" w:eastAsia="Arial Narrow" w:hAnsi="Arial Narrow" w:cs="Arial Narrow"/>
          <w:lang w:val="es-CO"/>
        </w:rPr>
      </w:pPr>
      <w:r w:rsidRPr="008B03DA">
        <w:rPr>
          <w:rFonts w:ascii="Arial Narrow" w:eastAsia="Arial Narrow" w:hAnsi="Arial Narrow" w:cs="Arial Narrow"/>
          <w:color w:val="000000"/>
          <w:lang w:val="es-CO"/>
        </w:rPr>
        <w:t>Samuel Van</w:t>
      </w:r>
      <w:r w:rsidRPr="008B03DA">
        <w:rPr>
          <w:rFonts w:ascii="Arial Narrow" w:eastAsia="Arial Narrow" w:hAnsi="Arial Narrow" w:cs="Arial Narrow"/>
          <w:lang w:val="es-CO"/>
        </w:rPr>
        <w:t xml:space="preserve"> Es (</w:t>
      </w:r>
      <w:hyperlink r:id="rId8">
        <w:r w:rsidRPr="008B03DA">
          <w:rPr>
            <w:rFonts w:ascii="Arial Narrow" w:eastAsia="Arial Narrow" w:hAnsi="Arial Narrow" w:cs="Arial Narrow"/>
            <w:lang w:val="es-CO"/>
          </w:rPr>
          <w:t>sam.van.es@slu.se</w:t>
        </w:r>
      </w:hyperlink>
      <w:r w:rsidRPr="008B03DA">
        <w:rPr>
          <w:rFonts w:ascii="Arial Narrow" w:eastAsia="Arial Narrow" w:hAnsi="Arial Narrow" w:cs="Arial Narrow"/>
          <w:lang w:val="es-CO"/>
        </w:rPr>
        <w:t xml:space="preserve">). </w:t>
      </w:r>
    </w:p>
    <w:p w14:paraId="047DCBC5" w14:textId="77777777" w:rsidR="005F0400" w:rsidRDefault="00000000">
      <w:pPr>
        <w:pStyle w:val="Heading4"/>
        <w:jc w:val="center"/>
        <w:rPr>
          <w:rFonts w:ascii="Arial Narrow" w:eastAsia="Arial Narrow" w:hAnsi="Arial Narrow" w:cs="Arial Narrow"/>
          <w:color w:val="008000"/>
          <w:sz w:val="36"/>
          <w:szCs w:val="36"/>
        </w:rPr>
      </w:pPr>
      <w:r>
        <w:rPr>
          <w:rFonts w:ascii="Arial Narrow" w:eastAsia="Arial Narrow" w:hAnsi="Arial Narrow" w:cs="Arial Narrow"/>
          <w:color w:val="008000"/>
          <w:sz w:val="36"/>
          <w:szCs w:val="36"/>
        </w:rPr>
        <w:t xml:space="preserve">LAB2: Growth &amp; Defense trade-off in </w:t>
      </w:r>
      <w:r>
        <w:rPr>
          <w:rFonts w:ascii="Arial Narrow" w:eastAsia="Arial Narrow" w:hAnsi="Arial Narrow" w:cs="Arial Narrow"/>
          <w:i/>
          <w:color w:val="008000"/>
          <w:sz w:val="36"/>
          <w:szCs w:val="36"/>
        </w:rPr>
        <w:t xml:space="preserve">Nicotiana benthamiana </w:t>
      </w:r>
      <w:r>
        <w:rPr>
          <w:rFonts w:ascii="Arial Narrow" w:eastAsia="Arial Narrow" w:hAnsi="Arial Narrow" w:cs="Arial Narrow"/>
          <w:color w:val="008000"/>
          <w:sz w:val="36"/>
          <w:szCs w:val="36"/>
        </w:rPr>
        <w:t xml:space="preserve">and Turnip Mosaic Virus interaction </w:t>
      </w:r>
    </w:p>
    <w:p w14:paraId="68FEF724" w14:textId="77777777" w:rsidR="005F0400" w:rsidRDefault="005F0400">
      <w:pPr>
        <w:pBdr>
          <w:top w:val="nil"/>
          <w:left w:val="nil"/>
          <w:bottom w:val="none" w:sz="0" w:space="0" w:color="000000"/>
          <w:right w:val="nil"/>
          <w:between w:val="nil"/>
        </w:pBdr>
        <w:spacing w:after="0" w:line="240" w:lineRule="auto"/>
        <w:rPr>
          <w:rFonts w:ascii="Arial Narrow" w:eastAsia="Arial Narrow" w:hAnsi="Arial Narrow" w:cs="Arial Narrow"/>
          <w:b/>
          <w:color w:val="000000"/>
          <w:sz w:val="24"/>
          <w:szCs w:val="24"/>
        </w:rPr>
      </w:pPr>
    </w:p>
    <w:p w14:paraId="185C1139" w14:textId="77777777" w:rsidR="005F04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Schedule: </w:t>
      </w:r>
    </w:p>
    <w:p w14:paraId="1F0D75D3" w14:textId="77777777" w:rsidR="005F04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2024-11-25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Day 1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9:15-12:00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Infection of seedlings  </w:t>
      </w:r>
    </w:p>
    <w:p w14:paraId="626DE961" w14:textId="77777777" w:rsidR="005F0400" w:rsidRDefault="00000000">
      <w:pPr>
        <w:rPr>
          <w:rFonts w:ascii="Times New Roman" w:eastAsia="Times New Roman" w:hAnsi="Times New Roman" w:cs="Times New Roman"/>
          <w:sz w:val="24"/>
          <w:szCs w:val="24"/>
        </w:rPr>
      </w:pPr>
      <w:bookmarkStart w:id="1" w:name="_heading=h.30j0zll" w:colFirst="0" w:colLast="0"/>
      <w:bookmarkEnd w:id="1"/>
      <w:r>
        <w:rPr>
          <w:rFonts w:ascii="Times New Roman" w:eastAsia="Times New Roman" w:hAnsi="Times New Roman" w:cs="Times New Roman"/>
          <w:sz w:val="24"/>
          <w:szCs w:val="24"/>
        </w:rPr>
        <w:t>2024-12-10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Day 15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09:15-12:00</w:t>
      </w:r>
      <w:r>
        <w:rPr>
          <w:rFonts w:ascii="Times New Roman" w:eastAsia="Times New Roman" w:hAnsi="Times New Roman" w:cs="Times New Roman"/>
          <w:sz w:val="24"/>
          <w:szCs w:val="24"/>
        </w:rPr>
        <w:tab/>
        <w:t xml:space="preserve">   Symptom scoring and samples harvesting</w:t>
      </w:r>
    </w:p>
    <w:p w14:paraId="2D9F2440" w14:textId="77777777" w:rsidR="005F04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2024-12-11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Day16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09:15-16:45</w:t>
      </w:r>
      <w:r>
        <w:rPr>
          <w:rFonts w:ascii="Times New Roman" w:eastAsia="Times New Roman" w:hAnsi="Times New Roman" w:cs="Times New Roman"/>
          <w:sz w:val="24"/>
          <w:szCs w:val="24"/>
        </w:rPr>
        <w:tab/>
        <w:t xml:space="preserve">    RNA extraction and cDNA synthesis</w:t>
      </w:r>
    </w:p>
    <w:p w14:paraId="4D3E884F" w14:textId="77777777" w:rsidR="005F04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2024-12-12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Day17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09:15-14:00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qPCR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02F77" w14:textId="77777777" w:rsidR="005F04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2024-12-13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Day18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09:15-12:00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Discussion of qPCR results </w:t>
      </w:r>
    </w:p>
    <w:p w14:paraId="6929D03B" w14:textId="77777777" w:rsidR="005F0400" w:rsidRDefault="005F0400">
      <w:pPr>
        <w:rPr>
          <w:rFonts w:ascii="Arial" w:eastAsia="Arial" w:hAnsi="Arial" w:cs="Arial"/>
          <w:sz w:val="18"/>
          <w:szCs w:val="18"/>
        </w:rPr>
      </w:pPr>
    </w:p>
    <w:p w14:paraId="042645C6" w14:textId="77777777" w:rsidR="005F0400" w:rsidRDefault="00000000">
      <w:pPr>
        <w:pBdr>
          <w:top w:val="nil"/>
          <w:left w:val="nil"/>
          <w:bottom w:val="single" w:sz="4" w:space="1" w:color="000000"/>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Day 15: </w:t>
      </w:r>
      <w:r>
        <w:rPr>
          <w:rFonts w:ascii="Times New Roman" w:eastAsia="Times New Roman" w:hAnsi="Times New Roman" w:cs="Times New Roman"/>
          <w:b/>
          <w:sz w:val="28"/>
          <w:szCs w:val="28"/>
        </w:rPr>
        <w:t>Samples harvesting</w:t>
      </w:r>
      <w:r>
        <w:rPr>
          <w:rFonts w:ascii="Times New Roman" w:eastAsia="Times New Roman" w:hAnsi="Times New Roman" w:cs="Times New Roman"/>
          <w:b/>
          <w:color w:val="000000"/>
          <w:sz w:val="28"/>
          <w:szCs w:val="28"/>
        </w:rPr>
        <w:t xml:space="preserve">, scoring of viral symptoms, and first discussion </w:t>
      </w:r>
    </w:p>
    <w:p w14:paraId="4B4F6457" w14:textId="77777777" w:rsidR="005F0400" w:rsidRDefault="005F0400">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FC94C46" w14:textId="77777777" w:rsidR="005F0400" w:rsidRDefault="00000000">
      <w:pPr>
        <w:pBdr>
          <w:top w:val="nil"/>
          <w:left w:val="nil"/>
          <w:bottom w:val="nil"/>
          <w:right w:val="nil"/>
          <w:between w:val="nil"/>
        </w:pBdr>
        <w:spacing w:after="0" w:line="360" w:lineRule="auto"/>
        <w:jc w:val="both"/>
        <w:rPr>
          <w:rFonts w:ascii="Times New Roman" w:eastAsia="Times New Roman" w:hAnsi="Times New Roman" w:cs="Times New Roman"/>
          <w:b/>
          <w:color w:val="C00000"/>
          <w:sz w:val="24"/>
          <w:szCs w:val="24"/>
          <w:u w:val="single"/>
        </w:rPr>
      </w:pPr>
      <w:r>
        <w:rPr>
          <w:rFonts w:ascii="Times New Roman" w:eastAsia="Times New Roman" w:hAnsi="Times New Roman" w:cs="Times New Roman"/>
          <w:color w:val="000000"/>
          <w:sz w:val="24"/>
          <w:szCs w:val="24"/>
        </w:rPr>
        <w:t xml:space="preserve">It is an ongoing debate in the plant-pathology field, especially in plant virology, whether and how disease symptoms and pathogen accumulation correlate. Is the disease phenotype truly dependent on pathogen accumulation? Today, we will examine your infected </w:t>
      </w:r>
      <w:r>
        <w:rPr>
          <w:rFonts w:ascii="Times New Roman" w:eastAsia="Times New Roman" w:hAnsi="Times New Roman" w:cs="Times New Roman"/>
          <w:i/>
          <w:color w:val="000000"/>
          <w:sz w:val="24"/>
          <w:szCs w:val="24"/>
        </w:rPr>
        <w:t>Nicotiana</w:t>
      </w:r>
      <w:r>
        <w:rPr>
          <w:rFonts w:ascii="Times New Roman" w:eastAsia="Times New Roman" w:hAnsi="Times New Roman" w:cs="Times New Roman"/>
          <w:color w:val="000000"/>
          <w:sz w:val="24"/>
          <w:szCs w:val="24"/>
        </w:rPr>
        <w:t xml:space="preserve"> plants and score the TuMV-induced disease by measuring the fluorescence intensity of the GFP protein co-expressed in each Agrobacterium construct previously inoculated.  </w:t>
      </w:r>
      <w:r>
        <w:rPr>
          <w:rFonts w:ascii="Times New Roman" w:eastAsia="Times New Roman" w:hAnsi="Times New Roman" w:cs="Times New Roman"/>
          <w:b/>
          <w:color w:val="000000"/>
          <w:sz w:val="24"/>
          <w:szCs w:val="24"/>
        </w:rPr>
        <w:t xml:space="preserve">Please bring your laptop for this exercise and ensure you have installed </w:t>
      </w:r>
      <w:hyperlink r:id="rId9">
        <w:r>
          <w:rPr>
            <w:rFonts w:ascii="Times New Roman" w:eastAsia="Times New Roman" w:hAnsi="Times New Roman" w:cs="Times New Roman"/>
            <w:b/>
            <w:color w:val="4472C4"/>
            <w:sz w:val="24"/>
            <w:szCs w:val="24"/>
            <w:u w:val="single"/>
          </w:rPr>
          <w:t>imagej software Fiji version</w:t>
        </w:r>
      </w:hyperlink>
      <w:r>
        <w:rPr>
          <w:rFonts w:ascii="Times New Roman" w:eastAsia="Times New Roman" w:hAnsi="Times New Roman" w:cs="Times New Roman"/>
          <w:b/>
          <w:color w:val="C00000"/>
          <w:sz w:val="24"/>
          <w:szCs w:val="24"/>
          <w:u w:val="single"/>
        </w:rPr>
        <w:t xml:space="preserve"> </w:t>
      </w:r>
    </w:p>
    <w:p w14:paraId="287FFE23" w14:textId="77777777" w:rsidR="005F0400" w:rsidRDefault="00000000">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Material </w:t>
      </w:r>
    </w:p>
    <w:p w14:paraId="51453CFC" w14:textId="77777777" w:rsidR="005F0400"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Nicotiana</w:t>
      </w:r>
      <w:r>
        <w:rPr>
          <w:rFonts w:ascii="Times New Roman" w:eastAsia="Times New Roman" w:hAnsi="Times New Roman" w:cs="Times New Roman"/>
          <w:color w:val="000000"/>
          <w:sz w:val="24"/>
          <w:szCs w:val="24"/>
        </w:rPr>
        <w:t xml:space="preserve"> infected plants, 15 dpi </w:t>
      </w:r>
    </w:p>
    <w:p w14:paraId="68417932" w14:textId="77777777" w:rsidR="005F0400"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Laptop with Imagej software</w:t>
      </w:r>
    </w:p>
    <w:p w14:paraId="32D3515A" w14:textId="77777777" w:rsidR="005F0400"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Gloves </w:t>
      </w:r>
    </w:p>
    <w:p w14:paraId="6FE4A988" w14:textId="77777777" w:rsidR="005F0400"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Goggles</w:t>
      </w:r>
    </w:p>
    <w:p w14:paraId="3248BD52" w14:textId="77777777" w:rsidR="005F0400"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UV reflective ruler </w:t>
      </w:r>
    </w:p>
    <w:p w14:paraId="2B93B075" w14:textId="77777777" w:rsidR="005F0400"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UV torch </w:t>
      </w:r>
    </w:p>
    <w:p w14:paraId="5BE53EC9" w14:textId="77777777" w:rsidR="005F0400"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Photographic camara and tripod </w:t>
      </w:r>
    </w:p>
    <w:p w14:paraId="04A68D66" w14:textId="77777777" w:rsidR="005F0400"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Black cloth </w:t>
      </w:r>
    </w:p>
    <w:p w14:paraId="048B3682" w14:textId="77777777" w:rsidR="005F0400"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mL Eppendorf and Eppendorf tube stand </w:t>
      </w:r>
    </w:p>
    <w:p w14:paraId="6BB6D265" w14:textId="77777777" w:rsidR="005F0400"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Eppendorf pestles</w:t>
      </w:r>
    </w:p>
    <w:p w14:paraId="5FB25D3B" w14:textId="77777777" w:rsidR="005F0400"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1ml pipettes + tips</w:t>
      </w:r>
    </w:p>
    <w:p w14:paraId="58AF9A0B" w14:textId="77777777" w:rsidR="005F0400"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Hole puncher plant</w:t>
      </w:r>
    </w:p>
    <w:p w14:paraId="63B56A44" w14:textId="77777777" w:rsidR="005F0400"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RNeasy kit extraction buffer RLT buffer with β-mercaptoethanol (10uL:1mL RLT)  </w:t>
      </w:r>
    </w:p>
    <w:p w14:paraId="41BA9D7A" w14:textId="77777777" w:rsidR="005F0400"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Liquid nitrogen liN2.</w:t>
      </w:r>
    </w:p>
    <w:p w14:paraId="2F3824F1" w14:textId="77777777" w:rsidR="005F0400"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Zippered bags of Eppendorf tube stand size</w:t>
      </w:r>
    </w:p>
    <w:p w14:paraId="17EE004E" w14:textId="77777777" w:rsidR="005F0400" w:rsidRDefault="00000000">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What do you think (please prepare these questions for an in-class discussion):</w:t>
      </w:r>
    </w:p>
    <w:p w14:paraId="208E6024" w14:textId="77777777" w:rsidR="005F0400"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Does the TuMV accumulation correlate with the symptoms you are observing in your plants? </w:t>
      </w:r>
    </w:p>
    <w:p w14:paraId="110B1A93" w14:textId="77777777" w:rsidR="005F0400"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What are reproducible, easy-to-score, non-invasive readouts for viral disease? </w:t>
      </w:r>
    </w:p>
    <w:p w14:paraId="7207368B" w14:textId="77777777" w:rsidR="005F0400"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Are viral infections comparable to bacterial/fungal infections? What are differences/ similarities? </w:t>
      </w:r>
    </w:p>
    <w:p w14:paraId="19C454BB" w14:textId="77777777" w:rsidR="005F0400"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What does a pathogen need from its host? </w:t>
      </w:r>
    </w:p>
    <w:p w14:paraId="1BF34282" w14:textId="77777777" w:rsidR="005F0400" w:rsidRDefault="00000000">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Photography of GFP expression to address symptoms severity</w:t>
      </w:r>
    </w:p>
    <w:p w14:paraId="5E4B2E05" w14:textId="77777777" w:rsidR="005F0400"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Before processing the plant tissue for RNA extraction, we will take take photographs of the leaves expressing GFP proteins for each of the four conditions: GFP only, TuMV “ΔHCPro” expressing free GFP (ΔHCG), TuMV “6K2-GFP” (6K2G) and both ΔHCG X 6K2G. We will use a UV reflective ruler and a black cloth as background, as shown in the setup: </w:t>
      </w:r>
    </w:p>
    <w:p w14:paraId="053169E2" w14:textId="77777777" w:rsidR="005F0400" w:rsidRDefault="00000000">
      <w:pPr>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903B629" wp14:editId="3E701025">
            <wp:extent cx="5125150" cy="2865078"/>
            <wp:effectExtent l="0" t="0" r="0" b="0"/>
            <wp:docPr id="1902010305" name="image9.png" descr="A close up of a leaf&#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close up of a leaf&#10;&#10;Description automatically generated"/>
                    <pic:cNvPicPr preferRelativeResize="0"/>
                  </pic:nvPicPr>
                  <pic:blipFill>
                    <a:blip r:embed="rId10"/>
                    <a:srcRect/>
                    <a:stretch>
                      <a:fillRect/>
                    </a:stretch>
                  </pic:blipFill>
                  <pic:spPr>
                    <a:xfrm>
                      <a:off x="0" y="0"/>
                      <a:ext cx="5125150" cy="2865078"/>
                    </a:xfrm>
                    <a:prstGeom prst="rect">
                      <a:avLst/>
                    </a:prstGeom>
                    <a:ln/>
                  </pic:spPr>
                </pic:pic>
              </a:graphicData>
            </a:graphic>
          </wp:inline>
        </w:drawing>
      </w:r>
    </w:p>
    <w:p w14:paraId="53B7C470" w14:textId="77777777" w:rsidR="005F0400" w:rsidRDefault="00000000">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OBS! </w:t>
      </w:r>
      <w:r>
        <w:rPr>
          <w:rFonts w:ascii="Times New Roman" w:eastAsia="Times New Roman" w:hAnsi="Times New Roman" w:cs="Times New Roman"/>
          <w:sz w:val="24"/>
          <w:szCs w:val="24"/>
        </w:rPr>
        <w:t>When working with UV light, especially in laboratory settings, there are significant safety concerns to be addressed. UV radiation can cause severe damage to the eyes, including corneal burns, which is why it is critical to wear proper protective goggles that block UV rays whenever UV light is in use. Similarly, exposure to UV radiation can also harm the skin, so ensuring minimal skin exposure is necessary.</w:t>
      </w:r>
    </w:p>
    <w:p w14:paraId="4BF7E583" w14:textId="77777777" w:rsidR="005F0400" w:rsidRDefault="00000000">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OBS! </w:t>
      </w:r>
      <w:r>
        <w:rPr>
          <w:rFonts w:ascii="Times New Roman" w:eastAsia="Times New Roman" w:hAnsi="Times New Roman" w:cs="Times New Roman"/>
          <w:sz w:val="24"/>
          <w:szCs w:val="24"/>
        </w:rPr>
        <w:t>Do not forget to wear gloves to protect your skin and prevent cross-contamination. These precautions—goggles for UV protection and gloves for handling infected tissue— are necessary measures to ensure both personal safety and biosafety compliance in the laboratory.</w:t>
      </w:r>
    </w:p>
    <w:p w14:paraId="002CB0DB" w14:textId="77777777" w:rsidR="005F0400" w:rsidRDefault="00000000">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Sample harvesting: </w:t>
      </w:r>
    </w:p>
    <w:p w14:paraId="4D896201" w14:textId="77777777" w:rsidR="005F0400"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detected the regions of GFP expression signal, proceed to collect the tissue. Depending on the size of the infected tissue, use either the whole leaf or the smallest hole puncher. To collect a single biological sample, we will collect four different leaf disks from different locations on one leaf of each group, as shown in the picture below: </w:t>
      </w:r>
    </w:p>
    <w:p w14:paraId="2A818CCB" w14:textId="77777777" w:rsidR="005F0400" w:rsidRDefault="00000000">
      <w:pPr>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283FB1" wp14:editId="5F206ADA">
            <wp:extent cx="1631503" cy="2463903"/>
            <wp:effectExtent l="0" t="0" r="0" b="0"/>
            <wp:docPr id="1902010307" name="image8.png" descr="A green leaf with white circle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green leaf with white circles and numbers&#10;&#10;Description automatically generated"/>
                    <pic:cNvPicPr preferRelativeResize="0"/>
                  </pic:nvPicPr>
                  <pic:blipFill>
                    <a:blip r:embed="rId11"/>
                    <a:srcRect/>
                    <a:stretch>
                      <a:fillRect/>
                    </a:stretch>
                  </pic:blipFill>
                  <pic:spPr>
                    <a:xfrm>
                      <a:off x="0" y="0"/>
                      <a:ext cx="1631503" cy="2463903"/>
                    </a:xfrm>
                    <a:prstGeom prst="rect">
                      <a:avLst/>
                    </a:prstGeom>
                    <a:ln/>
                  </pic:spPr>
                </pic:pic>
              </a:graphicData>
            </a:graphic>
          </wp:inline>
        </w:drawing>
      </w:r>
    </w:p>
    <w:p w14:paraId="47031419" w14:textId="77777777" w:rsidR="005F0400" w:rsidRDefault="00000000">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Label four 2mL Eppendorfs for each treatment and place them in your liquid nitrogen tank.</w:t>
      </w:r>
    </w:p>
    <w:p w14:paraId="5C26E071" w14:textId="77777777" w:rsidR="005F0400" w:rsidRDefault="00000000">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OBS!</w:t>
      </w:r>
      <w:r>
        <w:rPr>
          <w:rFonts w:ascii="Times New Roman" w:eastAsia="Times New Roman" w:hAnsi="Times New Roman" w:cs="Times New Roman"/>
          <w:color w:val="000000"/>
          <w:sz w:val="24"/>
          <w:szCs w:val="24"/>
        </w:rPr>
        <w:t xml:space="preserve"> Direct skin or eye contact with liN2 can cause severe damage, including cryogenic burns, frostbite and eye damage. Wear goggles whenever you work with liN2! </w:t>
      </w:r>
    </w:p>
    <w:p w14:paraId="5A7D3554" w14:textId="77777777" w:rsidR="005F0400" w:rsidRDefault="00000000">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Place the infected leaves disk (per treatment) in the previously cooled 2mL Eppendorf and add liquid nitrogen liN2.</w:t>
      </w:r>
    </w:p>
    <w:p w14:paraId="1073AF09" w14:textId="77777777" w:rsidR="005F0400" w:rsidRDefault="00000000">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a tube-by-tube base, grind the plants to fine powder (be careful not to let the material thaw!) using the Eppendorf pestle. Before continuing to the next tube, proceed to the next step</w:t>
      </w:r>
    </w:p>
    <w:p w14:paraId="410EA5BD" w14:textId="77777777" w:rsidR="005F0400" w:rsidRDefault="00000000">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Go to the fume hood where the RLT Buffer is located, and add 450uL in your tube. Vortex and place your sample on a tube stand at room temperature (RT) in the fume hood.</w:t>
      </w:r>
    </w:p>
    <w:p w14:paraId="69F929B6" w14:textId="77777777" w:rsidR="005F0400" w:rsidRDefault="00000000">
      <w:pPr>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you have processed each of the four tubes, place the entire tube stand into a zippered bag and store this bag in the refrigerator. This is the material for RNA extraction on the following day.</w:t>
      </w:r>
    </w:p>
    <w:p w14:paraId="16C21418" w14:textId="77777777" w:rsidR="005F040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GFP Fluorescence Image Analysis to Assess Symptoms Scoring</w:t>
      </w:r>
    </w:p>
    <w:p w14:paraId="2E89A28E" w14:textId="77777777" w:rsidR="005F0400"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you have taken UV pictures of the GFP-expressing tissues, save them in the same folder and open them in the Fiji version of ImageJ software. </w:t>
      </w:r>
    </w:p>
    <w:p w14:paraId="712DE026" w14:textId="77777777" w:rsidR="005F0400"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 the images </w:t>
      </w:r>
    </w:p>
    <w:p w14:paraId="07FD0559" w14:textId="77777777" w:rsidR="005F0400" w:rsidRDefault="00000000">
      <w:pPr>
        <w:pBdr>
          <w:top w:val="nil"/>
          <w:left w:val="nil"/>
          <w:bottom w:val="nil"/>
          <w:right w:val="nil"/>
          <w:between w:val="nil"/>
        </w:pBd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B00947" wp14:editId="7160F20F">
            <wp:extent cx="5943600" cy="1593850"/>
            <wp:effectExtent l="0" t="0" r="0" b="0"/>
            <wp:docPr id="1902010306"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12"/>
                    <a:srcRect/>
                    <a:stretch>
                      <a:fillRect/>
                    </a:stretch>
                  </pic:blipFill>
                  <pic:spPr>
                    <a:xfrm>
                      <a:off x="0" y="0"/>
                      <a:ext cx="5943600" cy="1593850"/>
                    </a:xfrm>
                    <a:prstGeom prst="rect">
                      <a:avLst/>
                    </a:prstGeom>
                    <a:ln/>
                  </pic:spPr>
                </pic:pic>
              </a:graphicData>
            </a:graphic>
          </wp:inline>
        </w:drawing>
      </w:r>
    </w:p>
    <w:p w14:paraId="10C2DE68" w14:textId="77777777" w:rsidR="005F0400"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bookmarkStart w:id="2" w:name="_heading=h.wc4j8ikorncx" w:colFirst="0" w:colLast="0"/>
      <w:bookmarkEnd w:id="2"/>
      <w:r>
        <w:rPr>
          <w:rFonts w:ascii="Times New Roman" w:eastAsia="Times New Roman" w:hAnsi="Times New Roman" w:cs="Times New Roman"/>
          <w:b/>
          <w:color w:val="000000"/>
          <w:sz w:val="24"/>
          <w:szCs w:val="24"/>
        </w:rPr>
        <w:t xml:space="preserve">Adding scale-bar: </w:t>
      </w:r>
      <w:r>
        <w:rPr>
          <w:rFonts w:ascii="Times New Roman" w:eastAsia="Times New Roman" w:hAnsi="Times New Roman" w:cs="Times New Roman"/>
          <w:color w:val="000000"/>
          <w:sz w:val="24"/>
          <w:szCs w:val="24"/>
        </w:rPr>
        <w:t>First, use the straight tool to draw a line approximately 1 cm in length, as shown:</w:t>
      </w:r>
    </w:p>
    <w:p w14:paraId="1EDB02AA" w14:textId="77777777" w:rsidR="005F0400" w:rsidRDefault="0000000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noProof/>
          <w:color w:val="000000"/>
          <w:sz w:val="24"/>
          <w:szCs w:val="24"/>
        </w:rPr>
        <w:drawing>
          <wp:inline distT="0" distB="0" distL="0" distR="0" wp14:anchorId="2F3320A9" wp14:editId="5778CCEF">
            <wp:extent cx="3948023" cy="3117083"/>
            <wp:effectExtent l="0" t="0" r="0" b="0"/>
            <wp:docPr id="1902010309"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13"/>
                    <a:srcRect/>
                    <a:stretch>
                      <a:fillRect/>
                    </a:stretch>
                  </pic:blipFill>
                  <pic:spPr>
                    <a:xfrm>
                      <a:off x="0" y="0"/>
                      <a:ext cx="3948023" cy="3117083"/>
                    </a:xfrm>
                    <a:prstGeom prst="rect">
                      <a:avLst/>
                    </a:prstGeom>
                    <a:ln/>
                  </pic:spPr>
                </pic:pic>
              </a:graphicData>
            </a:graphic>
          </wp:inline>
        </w:drawing>
      </w:r>
    </w:p>
    <w:p w14:paraId="53020727" w14:textId="77777777" w:rsidR="005F0400"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Set the scale by going to the “Analyze” tab and clicking on “Set Scale”. Type “1” in the “Know distance” and write “cm” as unit of length.</w:t>
      </w:r>
    </w:p>
    <w:p w14:paraId="0FD94361" w14:textId="77777777" w:rsidR="005F0400"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scale bar by going to the “Analyze” tab and then clicking on “Tools”. Finally click on “Scale Bar”. In the new menu, select “Lower Right” as “Location”.</w:t>
      </w:r>
    </w:p>
    <w:p w14:paraId="1CFA9C68" w14:textId="77777777" w:rsidR="005F0400" w:rsidRDefault="0000000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05AC8FC" wp14:editId="45DD556C">
            <wp:extent cx="4222084" cy="2871560"/>
            <wp:effectExtent l="0" t="0" r="0" b="0"/>
            <wp:docPr id="1902010308"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14"/>
                    <a:srcRect/>
                    <a:stretch>
                      <a:fillRect/>
                    </a:stretch>
                  </pic:blipFill>
                  <pic:spPr>
                    <a:xfrm>
                      <a:off x="0" y="0"/>
                      <a:ext cx="4222084" cy="2871560"/>
                    </a:xfrm>
                    <a:prstGeom prst="rect">
                      <a:avLst/>
                    </a:prstGeom>
                    <a:ln/>
                  </pic:spPr>
                </pic:pic>
              </a:graphicData>
            </a:graphic>
          </wp:inline>
        </w:drawing>
      </w:r>
    </w:p>
    <w:p w14:paraId="554F1626" w14:textId="77777777" w:rsidR="005F0400"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Duplicate your image by clicking on the “Image” tab and then selecting “Duplicate”.</w:t>
      </w:r>
    </w:p>
    <w:p w14:paraId="56119DE0" w14:textId="77777777" w:rsidR="005F0400"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avoid fluorescence quantification at the pixel resolution level, select the duplicate image, go to the "Process" tab, search for the "Filter" option, and select "Gaussian Blur." Type "2. </w:t>
      </w:r>
    </w:p>
    <w:p w14:paraId="7CE26DB1" w14:textId="77777777" w:rsidR="005F0400"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Filtering Green channel:</w:t>
      </w:r>
      <w:r>
        <w:rPr>
          <w:rFonts w:ascii="Times New Roman" w:eastAsia="Times New Roman" w:hAnsi="Times New Roman" w:cs="Times New Roman"/>
          <w:color w:val="000000"/>
          <w:sz w:val="24"/>
          <w:szCs w:val="24"/>
        </w:rPr>
        <w:t xml:space="preserve"> With the lower-resolution image, go to the "Image" tab, select the "Color" option, and then click on "Split." You will get three new windows—select the one labeled "(green)," as shown: </w:t>
      </w:r>
      <w:r>
        <w:rPr>
          <w:rFonts w:ascii="Times New Roman" w:eastAsia="Times New Roman" w:hAnsi="Times New Roman" w:cs="Times New Roman"/>
          <w:noProof/>
          <w:color w:val="000000"/>
          <w:sz w:val="24"/>
          <w:szCs w:val="24"/>
        </w:rPr>
        <w:drawing>
          <wp:inline distT="0" distB="0" distL="0" distR="0" wp14:anchorId="5722DCF6" wp14:editId="6F83A334">
            <wp:extent cx="4321905" cy="2350728"/>
            <wp:effectExtent l="0" t="0" r="0" b="0"/>
            <wp:docPr id="1902010311"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15"/>
                    <a:srcRect/>
                    <a:stretch>
                      <a:fillRect/>
                    </a:stretch>
                  </pic:blipFill>
                  <pic:spPr>
                    <a:xfrm>
                      <a:off x="0" y="0"/>
                      <a:ext cx="4321905" cy="2350728"/>
                    </a:xfrm>
                    <a:prstGeom prst="rect">
                      <a:avLst/>
                    </a:prstGeom>
                    <a:ln/>
                  </pic:spPr>
                </pic:pic>
              </a:graphicData>
            </a:graphic>
          </wp:inline>
        </w:drawing>
      </w:r>
    </w:p>
    <w:p w14:paraId="15971EE8" w14:textId="77777777" w:rsidR="005F0400"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Re-add the scale bar following the previous four instruction but selecting only the green window. </w:t>
      </w:r>
    </w:p>
    <w:p w14:paraId="61896AA5" w14:textId="77777777" w:rsidR="005F0400"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Using the Rectangle tool, select only the leaf region. Then go to the “Image” tab and click on “crop” option. Duplicate the image without selection marks, and save the image by going to the “Image” tab and clicking on “Save as” in JPEG format. </w:t>
      </w:r>
    </w:p>
    <w:p w14:paraId="6FCD16E7" w14:textId="77777777" w:rsidR="005F0400" w:rsidRDefault="0000000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noProof/>
          <w:color w:val="000000"/>
        </w:rPr>
        <w:drawing>
          <wp:inline distT="0" distB="0" distL="0" distR="0" wp14:anchorId="2818F9ED" wp14:editId="6138D2A3">
            <wp:extent cx="3039292" cy="3029554"/>
            <wp:effectExtent l="0" t="0" r="0" b="0"/>
            <wp:docPr id="1902010310"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16"/>
                    <a:srcRect/>
                    <a:stretch>
                      <a:fillRect/>
                    </a:stretch>
                  </pic:blipFill>
                  <pic:spPr>
                    <a:xfrm>
                      <a:off x="0" y="0"/>
                      <a:ext cx="3039292" cy="3029554"/>
                    </a:xfrm>
                    <a:prstGeom prst="rect">
                      <a:avLst/>
                    </a:prstGeom>
                    <a:ln/>
                  </pic:spPr>
                </pic:pic>
              </a:graphicData>
            </a:graphic>
          </wp:inline>
        </w:drawing>
      </w:r>
    </w:p>
    <w:p w14:paraId="29F48964" w14:textId="77777777" w:rsidR="005F0400" w:rsidRDefault="00000000">
      <w:pPr>
        <w:numPr>
          <w:ilvl w:val="0"/>
          <w:numId w:val="1"/>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Fluorescence quantification</w:t>
      </w:r>
      <w:r>
        <w:rPr>
          <w:rFonts w:ascii="Times New Roman" w:eastAsia="Times New Roman" w:hAnsi="Times New Roman" w:cs="Times New Roman"/>
          <w:color w:val="000000"/>
          <w:sz w:val="24"/>
          <w:szCs w:val="24"/>
        </w:rPr>
        <w:t xml:space="preserve">: We are now ready to quantify the fluorescence intensity, go to the "Image" tab, click on "Adjust," and search for "Threshold." Make sure "Don’t reset range" is selected. Then search for “MaxEntropy” option and move the upper bar to filter out the “non-green” tissue, then click on “Set”. All pixels with an intensity below 59 will be filtered out: </w:t>
      </w:r>
    </w:p>
    <w:p w14:paraId="25478358" w14:textId="77777777" w:rsidR="005F0400" w:rsidRDefault="00000000">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noProof/>
          <w:color w:val="000000"/>
        </w:rPr>
        <w:lastRenderedPageBreak/>
        <w:drawing>
          <wp:inline distT="0" distB="0" distL="0" distR="0" wp14:anchorId="5BF59360" wp14:editId="7723B3BF">
            <wp:extent cx="3031325" cy="3125900"/>
            <wp:effectExtent l="0" t="0" r="0" b="0"/>
            <wp:docPr id="1902010312"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17"/>
                    <a:srcRect/>
                    <a:stretch>
                      <a:fillRect/>
                    </a:stretch>
                  </pic:blipFill>
                  <pic:spPr>
                    <a:xfrm>
                      <a:off x="0" y="0"/>
                      <a:ext cx="3031325" cy="3125900"/>
                    </a:xfrm>
                    <a:prstGeom prst="rect">
                      <a:avLst/>
                    </a:prstGeom>
                    <a:ln/>
                  </pic:spPr>
                </pic:pic>
              </a:graphicData>
            </a:graphic>
          </wp:inline>
        </w:drawing>
      </w:r>
    </w:p>
    <w:p w14:paraId="43867B6B" w14:textId="77777777" w:rsidR="005F0400" w:rsidRDefault="00000000">
      <w:pPr>
        <w:numPr>
          <w:ilvl w:val="0"/>
          <w:numId w:val="1"/>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go to the “Analyze” tab and click on the “</w:t>
      </w:r>
      <w:r>
        <w:rPr>
          <w:rFonts w:ascii="Times New Roman" w:eastAsia="Times New Roman" w:hAnsi="Times New Roman" w:cs="Times New Roman"/>
          <w:sz w:val="24"/>
          <w:szCs w:val="24"/>
        </w:rPr>
        <w:t>Set Measurements</w:t>
      </w:r>
      <w:r>
        <w:rPr>
          <w:rFonts w:ascii="Times New Roman" w:eastAsia="Times New Roman" w:hAnsi="Times New Roman" w:cs="Times New Roman"/>
          <w:color w:val="000000"/>
          <w:sz w:val="24"/>
          <w:szCs w:val="24"/>
        </w:rPr>
        <w:t xml:space="preserve">” option. In the new dialog box, click on the same boxes as the example ahead: </w:t>
      </w:r>
    </w:p>
    <w:p w14:paraId="19399768" w14:textId="77777777" w:rsidR="005F0400" w:rsidRDefault="00000000">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2FB3997A" wp14:editId="1813B729">
            <wp:extent cx="2719388" cy="3297596"/>
            <wp:effectExtent l="0" t="0" r="0" b="0"/>
            <wp:docPr id="19020103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2719388" cy="3297596"/>
                    </a:xfrm>
                    <a:prstGeom prst="rect">
                      <a:avLst/>
                    </a:prstGeom>
                    <a:ln/>
                  </pic:spPr>
                </pic:pic>
              </a:graphicData>
            </a:graphic>
          </wp:inline>
        </w:drawing>
      </w:r>
    </w:p>
    <w:p w14:paraId="51723AF6" w14:textId="5D0E3375" w:rsidR="005F0400" w:rsidRDefault="00000000">
      <w:pPr>
        <w:numPr>
          <w:ilvl w:val="0"/>
          <w:numId w:val="1"/>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you click on “OK”, then select the </w:t>
      </w:r>
      <w:r>
        <w:rPr>
          <w:rFonts w:ascii="Times New Roman" w:eastAsia="Times New Roman" w:hAnsi="Times New Roman" w:cs="Times New Roman"/>
          <w:sz w:val="24"/>
          <w:szCs w:val="24"/>
        </w:rPr>
        <w:t>image with the red threshold and click into 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Anal</w:t>
      </w:r>
      <w:r>
        <w:rPr>
          <w:rFonts w:ascii="Times New Roman" w:eastAsia="Times New Roman" w:hAnsi="Times New Roman" w:cs="Times New Roman"/>
          <w:sz w:val="24"/>
          <w:szCs w:val="24"/>
        </w:rPr>
        <w:t xml:space="preserve">yze” tab, and click on Measure, a </w:t>
      </w:r>
      <w:r>
        <w:rPr>
          <w:rFonts w:ascii="Times New Roman" w:eastAsia="Times New Roman" w:hAnsi="Times New Roman" w:cs="Times New Roman"/>
          <w:color w:val="000000"/>
          <w:sz w:val="24"/>
          <w:szCs w:val="24"/>
        </w:rPr>
        <w:t xml:space="preserve">new </w:t>
      </w:r>
      <w:r>
        <w:rPr>
          <w:rFonts w:ascii="Times New Roman" w:eastAsia="Times New Roman" w:hAnsi="Times New Roman" w:cs="Times New Roman"/>
          <w:sz w:val="24"/>
          <w:szCs w:val="24"/>
        </w:rPr>
        <w:t>window</w:t>
      </w:r>
      <w:r>
        <w:rPr>
          <w:rFonts w:ascii="Times New Roman" w:eastAsia="Times New Roman" w:hAnsi="Times New Roman" w:cs="Times New Roman"/>
          <w:color w:val="000000"/>
          <w:sz w:val="24"/>
          <w:szCs w:val="24"/>
        </w:rPr>
        <w:t xml:space="preserve"> will appear called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“Results”. Copy the “Area”, and “Mean” intensity per each leaf measured, we will use these values as a proxy of the GFP</w:t>
      </w:r>
      <w:r w:rsidR="008B03DA">
        <w:rPr>
          <w:rFonts w:ascii="Times New Roman" w:eastAsia="Times New Roman" w:hAnsi="Times New Roman" w:cs="Times New Roman"/>
          <w:color w:val="000000"/>
          <w:sz w:val="24"/>
          <w:szCs w:val="24"/>
        </w:rPr>
        <w:t xml:space="preserve"> are (cm</w:t>
      </w:r>
      <w:r w:rsidR="008B03DA" w:rsidRPr="008B03DA">
        <w:rPr>
          <w:rFonts w:ascii="Times New Roman" w:eastAsia="Times New Roman" w:hAnsi="Times New Roman" w:cs="Times New Roman"/>
          <w:color w:val="000000"/>
          <w:sz w:val="24"/>
          <w:szCs w:val="24"/>
          <w:vertAlign w:val="superscript"/>
        </w:rPr>
        <w:t>2</w:t>
      </w:r>
      <w:r w:rsidR="008B03DA">
        <w:rPr>
          <w:rFonts w:ascii="Times New Roman" w:eastAsia="Times New Roman" w:hAnsi="Times New Roman" w:cs="Times New Roman"/>
          <w:color w:val="000000"/>
          <w:sz w:val="24"/>
          <w:szCs w:val="24"/>
        </w:rPr>
        <w:t xml:space="preserve">) and mean GFP </w:t>
      </w:r>
      <w:r>
        <w:rPr>
          <w:rFonts w:ascii="Times New Roman" w:eastAsia="Times New Roman" w:hAnsi="Times New Roman" w:cs="Times New Roman"/>
          <w:color w:val="000000"/>
          <w:sz w:val="24"/>
          <w:szCs w:val="24"/>
        </w:rPr>
        <w:t>fluorescence intensity.</w:t>
      </w:r>
    </w:p>
    <w:p w14:paraId="264CC277" w14:textId="77777777" w:rsidR="005F0400" w:rsidRDefault="00000000">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Compare your infections with the other groups: </w:t>
      </w:r>
    </w:p>
    <w:p w14:paraId="69CD1390" w14:textId="77777777" w:rsidR="005F0400"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Do you see differences in the same viral strains? </w:t>
      </w:r>
    </w:p>
    <w:p w14:paraId="7B746E53" w14:textId="77777777" w:rsidR="005F0400" w:rsidRDefault="00000000">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Who is winning in our competition test, based your decision on mean intensity values</w:t>
      </w:r>
    </w:p>
    <w:p w14:paraId="3CB95F63" w14:textId="77777777" w:rsidR="005F0400" w:rsidRDefault="005F0400">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p>
    <w:p w14:paraId="2E8D2EE9" w14:textId="77777777" w:rsidR="005F0400" w:rsidRDefault="00000000">
      <w:pPr>
        <w:pBdr>
          <w:top w:val="nil"/>
          <w:left w:val="nil"/>
          <w:bottom w:val="single" w:sz="4" w:space="1" w:color="000000"/>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Further Reading</w:t>
      </w:r>
    </w:p>
    <w:p w14:paraId="794D613B" w14:textId="77777777" w:rsidR="005F0400" w:rsidRDefault="005F040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2898044E" w14:textId="77777777" w:rsidR="005F0400" w:rsidRDefault="00000000">
      <w:pPr>
        <w:ind w:left="720"/>
        <w:jc w:val="both"/>
        <w:rPr>
          <w:rFonts w:ascii="Arial" w:eastAsia="Arial" w:hAnsi="Arial" w:cs="Arial"/>
          <w:color w:val="222222"/>
          <w:sz w:val="20"/>
          <w:szCs w:val="20"/>
          <w:highlight w:val="white"/>
        </w:rPr>
      </w:pPr>
      <w:r>
        <w:rPr>
          <w:rFonts w:ascii="Arial" w:eastAsia="Arial" w:hAnsi="Arial" w:cs="Arial"/>
          <w:b/>
          <w:color w:val="222222"/>
          <w:sz w:val="20"/>
          <w:szCs w:val="20"/>
          <w:highlight w:val="white"/>
        </w:rPr>
        <w:t>Nicaise, V. (2014).</w:t>
      </w:r>
      <w:r>
        <w:rPr>
          <w:rFonts w:ascii="Arial" w:eastAsia="Arial" w:hAnsi="Arial" w:cs="Arial"/>
          <w:color w:val="222222"/>
          <w:sz w:val="20"/>
          <w:szCs w:val="20"/>
          <w:highlight w:val="white"/>
        </w:rPr>
        <w:t xml:space="preserve"> Crop immunity against viruses: outcomes and future challenges. </w:t>
      </w:r>
      <w:r>
        <w:rPr>
          <w:rFonts w:ascii="Arial" w:eastAsia="Arial" w:hAnsi="Arial" w:cs="Arial"/>
          <w:i/>
          <w:color w:val="222222"/>
          <w:sz w:val="20"/>
          <w:szCs w:val="20"/>
          <w:highlight w:val="white"/>
        </w:rPr>
        <w:t>Frontiers in plant science</w:t>
      </w:r>
      <w:r>
        <w:rPr>
          <w:rFonts w:ascii="Arial" w:eastAsia="Arial" w:hAnsi="Arial" w:cs="Arial"/>
          <w:color w:val="222222"/>
          <w:sz w:val="20"/>
          <w:szCs w:val="20"/>
          <w:highlight w:val="white"/>
        </w:rPr>
        <w:t>, </w:t>
      </w:r>
      <w:r>
        <w:rPr>
          <w:rFonts w:ascii="Arial" w:eastAsia="Arial" w:hAnsi="Arial" w:cs="Arial"/>
          <w:i/>
          <w:color w:val="222222"/>
          <w:sz w:val="20"/>
          <w:szCs w:val="20"/>
          <w:highlight w:val="white"/>
        </w:rPr>
        <w:t>5</w:t>
      </w:r>
      <w:r>
        <w:rPr>
          <w:rFonts w:ascii="Arial" w:eastAsia="Arial" w:hAnsi="Arial" w:cs="Arial"/>
          <w:color w:val="222222"/>
          <w:sz w:val="20"/>
          <w:szCs w:val="20"/>
          <w:highlight w:val="white"/>
        </w:rPr>
        <w:t xml:space="preserve">, 660. </w:t>
      </w:r>
    </w:p>
    <w:p w14:paraId="6AE9DF27" w14:textId="77777777" w:rsidR="005F0400" w:rsidRDefault="00000000">
      <w:pPr>
        <w:ind w:left="720"/>
        <w:jc w:val="both"/>
        <w:rPr>
          <w:rFonts w:ascii="Arial" w:eastAsia="Arial" w:hAnsi="Arial" w:cs="Arial"/>
          <w:color w:val="222222"/>
          <w:sz w:val="20"/>
          <w:szCs w:val="20"/>
        </w:rPr>
      </w:pPr>
      <w:r>
        <w:rPr>
          <w:rFonts w:ascii="Arial" w:eastAsia="Arial" w:hAnsi="Arial" w:cs="Arial"/>
          <w:b/>
          <w:color w:val="222222"/>
          <w:sz w:val="20"/>
          <w:szCs w:val="20"/>
          <w:highlight w:val="white"/>
        </w:rPr>
        <w:t xml:space="preserve">Bashandy H. </w:t>
      </w:r>
      <w:r>
        <w:rPr>
          <w:rFonts w:ascii="Arial" w:eastAsia="Arial" w:hAnsi="Arial" w:cs="Arial"/>
          <w:b/>
          <w:i/>
          <w:color w:val="222222"/>
          <w:sz w:val="20"/>
          <w:szCs w:val="20"/>
          <w:highlight w:val="white"/>
        </w:rPr>
        <w:t>et al.</w:t>
      </w:r>
      <w:r>
        <w:rPr>
          <w:rFonts w:ascii="Arial" w:eastAsia="Arial" w:hAnsi="Arial" w:cs="Arial"/>
          <w:b/>
          <w:color w:val="222222"/>
          <w:sz w:val="20"/>
          <w:szCs w:val="20"/>
          <w:highlight w:val="white"/>
        </w:rPr>
        <w:t xml:space="preserve"> (2015). </w:t>
      </w:r>
      <w:r>
        <w:rPr>
          <w:rFonts w:ascii="Arial" w:eastAsia="Arial" w:hAnsi="Arial" w:cs="Arial"/>
          <w:color w:val="222222"/>
          <w:sz w:val="20"/>
          <w:szCs w:val="20"/>
        </w:rPr>
        <w:t xml:space="preserve">Within leaf variation is the largest source of variation in agroinfiltration of Nicotiana benthamiana. Plant Methods, 11, 47. </w:t>
      </w:r>
    </w:p>
    <w:p w14:paraId="2922CB90" w14:textId="77777777" w:rsidR="005F0400" w:rsidRDefault="00000000">
      <w:pPr>
        <w:ind w:left="720"/>
        <w:jc w:val="both"/>
        <w:rPr>
          <w:rFonts w:ascii="Arial" w:eastAsia="Arial" w:hAnsi="Arial" w:cs="Arial"/>
          <w:color w:val="222222"/>
          <w:sz w:val="20"/>
          <w:szCs w:val="20"/>
          <w:highlight w:val="white"/>
        </w:rPr>
      </w:pPr>
      <w:r>
        <w:rPr>
          <w:rFonts w:ascii="Arial" w:eastAsia="Arial" w:hAnsi="Arial" w:cs="Arial"/>
          <w:b/>
          <w:color w:val="222222"/>
          <w:sz w:val="20"/>
          <w:szCs w:val="20"/>
        </w:rPr>
        <w:t>Fitzpatrick M.</w:t>
      </w:r>
      <w:r>
        <w:rPr>
          <w:rFonts w:ascii="Arial" w:eastAsia="Arial" w:hAnsi="Arial" w:cs="Arial"/>
          <w:color w:val="222222"/>
          <w:sz w:val="20"/>
          <w:szCs w:val="20"/>
        </w:rPr>
        <w:t xml:space="preserve"> </w:t>
      </w:r>
      <w:r>
        <w:rPr>
          <w:rFonts w:ascii="Arial" w:eastAsia="Arial" w:hAnsi="Arial" w:cs="Arial"/>
          <w:b/>
          <w:color w:val="222222"/>
          <w:sz w:val="20"/>
          <w:szCs w:val="20"/>
        </w:rPr>
        <w:t xml:space="preserve">(2014). The Open Lab Book: Measuring cell fluorescence using ImageJ. </w:t>
      </w:r>
      <w:r>
        <w:rPr>
          <w:rFonts w:ascii="Arial" w:eastAsia="Arial" w:hAnsi="Arial" w:cs="Arial"/>
          <w:color w:val="222222"/>
          <w:sz w:val="20"/>
          <w:szCs w:val="20"/>
        </w:rPr>
        <w:t>https://theolb.readthedocs.io/en/latest/imaging/measuring-cell-fluorescence-using-imagej.html</w:t>
      </w:r>
    </w:p>
    <w:p w14:paraId="36E81879" w14:textId="77777777" w:rsidR="005F0400" w:rsidRDefault="005F0400">
      <w:pPr>
        <w:spacing w:line="240" w:lineRule="auto"/>
        <w:rPr>
          <w:rFonts w:ascii="Arial" w:eastAsia="Arial" w:hAnsi="Arial" w:cs="Arial"/>
        </w:rPr>
      </w:pPr>
    </w:p>
    <w:p w14:paraId="00FFA68A" w14:textId="77777777" w:rsidR="005F0400" w:rsidRDefault="005F0400">
      <w:pPr>
        <w:spacing w:line="240" w:lineRule="auto"/>
        <w:rPr>
          <w:rFonts w:ascii="Arial" w:eastAsia="Arial" w:hAnsi="Arial" w:cs="Arial"/>
        </w:rPr>
      </w:pPr>
    </w:p>
    <w:p w14:paraId="6AA4A1AB" w14:textId="77777777" w:rsidR="005F0400" w:rsidRDefault="005F0400">
      <w:pPr>
        <w:spacing w:line="240" w:lineRule="auto"/>
        <w:rPr>
          <w:rFonts w:ascii="Arial" w:eastAsia="Arial" w:hAnsi="Arial" w:cs="Arial"/>
        </w:rPr>
      </w:pPr>
    </w:p>
    <w:p w14:paraId="48DB1D66" w14:textId="77777777" w:rsidR="005F0400" w:rsidRDefault="005F0400">
      <w:pPr>
        <w:rPr>
          <w:rFonts w:ascii="Arial" w:eastAsia="Arial" w:hAnsi="Arial" w:cs="Arial"/>
        </w:rPr>
      </w:pPr>
    </w:p>
    <w:sectPr w:rsidR="005F0400">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67FE4109-CF93-4617-8842-CA71C672451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9FA2CF2-F2EE-48AA-9115-0ED203D5861B}"/>
    <w:embedBold r:id="rId3" w:fontKey="{23CAB24D-A2D4-4508-AC87-4C0F7B4DB2DE}"/>
    <w:embedItalic r:id="rId4" w:fontKey="{3819C816-1F0A-4D50-BF18-87D804B9693E}"/>
  </w:font>
  <w:font w:name="Times">
    <w:panose1 w:val="02020603050405020304"/>
    <w:charset w:val="00"/>
    <w:family w:val="roman"/>
    <w:pitch w:val="variable"/>
    <w:sig w:usb0="E0002EFF" w:usb1="C000785B" w:usb2="00000009" w:usb3="00000000" w:csb0="000001FF" w:csb1="00000000"/>
    <w:embedBold r:id="rId5" w:fontKey="{94657E27-FA03-4F60-82E3-AC75F04B7A26}"/>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6" w:fontKey="{DBE9B8C9-6DC3-41C2-AD26-A176AFE1D5DB}"/>
  </w:font>
  <w:font w:name="Georgia">
    <w:panose1 w:val="02040502050405020303"/>
    <w:charset w:val="00"/>
    <w:family w:val="roman"/>
    <w:pitch w:val="variable"/>
    <w:sig w:usb0="00000287" w:usb1="00000000" w:usb2="00000000" w:usb3="00000000" w:csb0="0000009F" w:csb1="00000000"/>
    <w:embedRegular r:id="rId7" w:fontKey="{D7CFB8B9-0231-4F55-BC84-E1E726C30FF9}"/>
    <w:embedItalic r:id="rId8" w:fontKey="{45AF2251-0CDA-4DE4-B2E8-53545E4ADD42}"/>
  </w:font>
  <w:font w:name="Arial Narrow">
    <w:panose1 w:val="020B0606020202030204"/>
    <w:charset w:val="00"/>
    <w:family w:val="swiss"/>
    <w:pitch w:val="variable"/>
    <w:sig w:usb0="00000287" w:usb1="00000800" w:usb2="00000000" w:usb3="00000000" w:csb0="0000009F" w:csb1="00000000"/>
    <w:embedRegular r:id="rId9" w:fontKey="{119DB795-928F-4CFA-998C-86A8159F3BA9}"/>
    <w:embedBold r:id="rId10" w:fontKey="{DA8B0227-8B05-476F-B154-39A7BBD643ED}"/>
    <w:embedBoldItalic r:id="rId11" w:fontKey="{FEDFB90F-FD58-4FD3-944B-06A9717B4E8F}"/>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2" w:fontKey="{0F1225C0-8FAA-4592-AB28-0C187BABA33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22B7E"/>
    <w:multiLevelType w:val="multilevel"/>
    <w:tmpl w:val="6AD60D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0133F5C"/>
    <w:multiLevelType w:val="multilevel"/>
    <w:tmpl w:val="BB2032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651051D"/>
    <w:multiLevelType w:val="multilevel"/>
    <w:tmpl w:val="C2FE35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12B3754"/>
    <w:multiLevelType w:val="multilevel"/>
    <w:tmpl w:val="ACA275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92740401">
    <w:abstractNumId w:val="1"/>
  </w:num>
  <w:num w:numId="2" w16cid:durableId="1221290689">
    <w:abstractNumId w:val="2"/>
  </w:num>
  <w:num w:numId="3" w16cid:durableId="652376319">
    <w:abstractNumId w:val="3"/>
  </w:num>
  <w:num w:numId="4" w16cid:durableId="1666731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0400"/>
    <w:rsid w:val="005F0400"/>
    <w:rsid w:val="008809B7"/>
    <w:rsid w:val="008B03DA"/>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2D767"/>
  <w15:docId w15:val="{7DFEC17A-F39B-4DE4-80FB-B6FC03D63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S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FE4"/>
  </w:style>
  <w:style w:type="paragraph" w:styleId="Heading1">
    <w:name w:val="heading 1"/>
    <w:basedOn w:val="Normal"/>
    <w:next w:val="Normal"/>
    <w:link w:val="Heading1Char"/>
    <w:uiPriority w:val="9"/>
    <w:qFormat/>
    <w:rsid w:val="004C6FDA"/>
    <w:pPr>
      <w:keepNext/>
      <w:spacing w:after="0" w:line="240" w:lineRule="auto"/>
      <w:outlineLvl w:val="0"/>
    </w:pPr>
    <w:rPr>
      <w:rFonts w:ascii="Times" w:eastAsia="Times" w:hAnsi="Times" w:cs="Times New Roman"/>
      <w:b/>
      <w:sz w:val="24"/>
      <w:szCs w:val="20"/>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4C6FDA"/>
    <w:pPr>
      <w:keepNext/>
      <w:spacing w:before="240" w:after="60" w:line="240" w:lineRule="auto"/>
      <w:outlineLvl w:val="3"/>
    </w:pPr>
    <w:rPr>
      <w:rFonts w:ascii="Times New Roman" w:eastAsia="Times New Roman" w:hAnsi="Times New Roman" w:cs="Times New Roman"/>
      <w:b/>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9A2CBD"/>
    <w:pPr>
      <w:spacing w:after="0" w:line="240" w:lineRule="auto"/>
    </w:pPr>
  </w:style>
  <w:style w:type="paragraph" w:styleId="ListParagraph">
    <w:name w:val="List Paragraph"/>
    <w:basedOn w:val="Normal"/>
    <w:uiPriority w:val="34"/>
    <w:qFormat/>
    <w:rsid w:val="00925F1C"/>
    <w:pPr>
      <w:ind w:left="720"/>
      <w:contextualSpacing/>
    </w:pPr>
  </w:style>
  <w:style w:type="table" w:styleId="TableGrid">
    <w:name w:val="Table Grid"/>
    <w:basedOn w:val="TableNormal"/>
    <w:uiPriority w:val="39"/>
    <w:rsid w:val="000F0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F0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09C5"/>
    <w:rPr>
      <w:rFonts w:ascii="Segoe UI" w:hAnsi="Segoe UI" w:cs="Segoe UI"/>
      <w:sz w:val="18"/>
      <w:szCs w:val="18"/>
    </w:rPr>
  </w:style>
  <w:style w:type="character" w:styleId="CommentReference">
    <w:name w:val="annotation reference"/>
    <w:basedOn w:val="DefaultParagraphFont"/>
    <w:uiPriority w:val="99"/>
    <w:semiHidden/>
    <w:unhideWhenUsed/>
    <w:rsid w:val="004C6FDA"/>
    <w:rPr>
      <w:sz w:val="16"/>
      <w:szCs w:val="16"/>
    </w:rPr>
  </w:style>
  <w:style w:type="paragraph" w:styleId="CommentText">
    <w:name w:val="annotation text"/>
    <w:basedOn w:val="Normal"/>
    <w:link w:val="CommentTextChar"/>
    <w:uiPriority w:val="99"/>
    <w:semiHidden/>
    <w:unhideWhenUsed/>
    <w:rsid w:val="004C6FDA"/>
    <w:pPr>
      <w:spacing w:line="240" w:lineRule="auto"/>
    </w:pPr>
    <w:rPr>
      <w:sz w:val="20"/>
      <w:szCs w:val="20"/>
    </w:rPr>
  </w:style>
  <w:style w:type="character" w:customStyle="1" w:styleId="CommentTextChar">
    <w:name w:val="Comment Text Char"/>
    <w:basedOn w:val="DefaultParagraphFont"/>
    <w:link w:val="CommentText"/>
    <w:uiPriority w:val="99"/>
    <w:semiHidden/>
    <w:rsid w:val="004C6FDA"/>
    <w:rPr>
      <w:sz w:val="20"/>
      <w:szCs w:val="20"/>
    </w:rPr>
  </w:style>
  <w:style w:type="paragraph" w:styleId="CommentSubject">
    <w:name w:val="annotation subject"/>
    <w:basedOn w:val="CommentText"/>
    <w:next w:val="CommentText"/>
    <w:link w:val="CommentSubjectChar"/>
    <w:uiPriority w:val="99"/>
    <w:semiHidden/>
    <w:unhideWhenUsed/>
    <w:rsid w:val="004C6FDA"/>
    <w:rPr>
      <w:b/>
      <w:bCs/>
    </w:rPr>
  </w:style>
  <w:style w:type="character" w:customStyle="1" w:styleId="CommentSubjectChar">
    <w:name w:val="Comment Subject Char"/>
    <w:basedOn w:val="CommentTextChar"/>
    <w:link w:val="CommentSubject"/>
    <w:uiPriority w:val="99"/>
    <w:semiHidden/>
    <w:rsid w:val="004C6FDA"/>
    <w:rPr>
      <w:b/>
      <w:bCs/>
      <w:sz w:val="20"/>
      <w:szCs w:val="20"/>
    </w:rPr>
  </w:style>
  <w:style w:type="character" w:customStyle="1" w:styleId="Heading1Char">
    <w:name w:val="Heading 1 Char"/>
    <w:basedOn w:val="DefaultParagraphFont"/>
    <w:link w:val="Heading1"/>
    <w:rsid w:val="004C6FDA"/>
    <w:rPr>
      <w:rFonts w:ascii="Times" w:eastAsia="Times" w:hAnsi="Times" w:cs="Times New Roman"/>
      <w:b/>
      <w:sz w:val="24"/>
      <w:szCs w:val="20"/>
    </w:rPr>
  </w:style>
  <w:style w:type="character" w:customStyle="1" w:styleId="Heading4Char">
    <w:name w:val="Heading 4 Char"/>
    <w:basedOn w:val="DefaultParagraphFont"/>
    <w:link w:val="Heading4"/>
    <w:rsid w:val="004C6FDA"/>
    <w:rPr>
      <w:rFonts w:ascii="Times New Roman" w:eastAsia="Times New Roman" w:hAnsi="Times New Roman" w:cs="Times New Roman"/>
      <w:b/>
      <w:sz w:val="28"/>
      <w:szCs w:val="28"/>
    </w:rPr>
  </w:style>
  <w:style w:type="paragraph" w:styleId="BodyText">
    <w:name w:val="Body Text"/>
    <w:basedOn w:val="Normal"/>
    <w:link w:val="BodyTextChar"/>
    <w:rsid w:val="004C6FDA"/>
    <w:pPr>
      <w:pBdr>
        <w:bottom w:val="single" w:sz="4" w:space="1" w:color="auto"/>
      </w:pBdr>
      <w:spacing w:after="0" w:line="240" w:lineRule="auto"/>
    </w:pPr>
    <w:rPr>
      <w:rFonts w:ascii="Times" w:eastAsia="Times" w:hAnsi="Times" w:cs="Times New Roman"/>
      <w:b/>
      <w:sz w:val="28"/>
      <w:szCs w:val="20"/>
      <w:lang w:val="en-GB"/>
    </w:rPr>
  </w:style>
  <w:style w:type="character" w:customStyle="1" w:styleId="BodyTextChar">
    <w:name w:val="Body Text Char"/>
    <w:basedOn w:val="DefaultParagraphFont"/>
    <w:link w:val="BodyText"/>
    <w:rsid w:val="004C6FDA"/>
    <w:rPr>
      <w:rFonts w:ascii="Times" w:eastAsia="Times" w:hAnsi="Times" w:cs="Times New Roman"/>
      <w:b/>
      <w:sz w:val="28"/>
      <w:szCs w:val="20"/>
      <w:lang w:val="en-GB"/>
    </w:rPr>
  </w:style>
  <w:style w:type="character" w:styleId="Hyperlink">
    <w:name w:val="Hyperlink"/>
    <w:uiPriority w:val="99"/>
    <w:unhideWhenUsed/>
    <w:rsid w:val="004C6FDA"/>
    <w:rPr>
      <w:strike w:val="0"/>
      <w:dstrike w:val="0"/>
      <w:color w:val="535353"/>
      <w:u w:val="none"/>
      <w:effect w:val="none"/>
    </w:rPr>
  </w:style>
  <w:style w:type="character" w:customStyle="1" w:styleId="UnresolvedMention1">
    <w:name w:val="Unresolved Mention1"/>
    <w:basedOn w:val="DefaultParagraphFont"/>
    <w:uiPriority w:val="99"/>
    <w:semiHidden/>
    <w:unhideWhenUsed/>
    <w:rsid w:val="004C6FDA"/>
    <w:rPr>
      <w:color w:val="605E5C"/>
      <w:shd w:val="clear" w:color="auto" w:fill="E1DFDD"/>
    </w:rPr>
  </w:style>
  <w:style w:type="character" w:styleId="UnresolvedMention">
    <w:name w:val="Unresolved Mention"/>
    <w:basedOn w:val="DefaultParagraphFont"/>
    <w:uiPriority w:val="99"/>
    <w:semiHidden/>
    <w:unhideWhenUsed/>
    <w:rsid w:val="0099750C"/>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EndnoteText">
    <w:name w:val="endnote text"/>
    <w:basedOn w:val="Normal"/>
    <w:link w:val="EndnoteTextChar"/>
    <w:uiPriority w:val="99"/>
    <w:semiHidden/>
    <w:unhideWhenUsed/>
    <w:rsid w:val="003B03D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03DC"/>
    <w:rPr>
      <w:sz w:val="20"/>
      <w:szCs w:val="20"/>
    </w:rPr>
  </w:style>
  <w:style w:type="character" w:styleId="EndnoteReference">
    <w:name w:val="endnote reference"/>
    <w:basedOn w:val="DefaultParagraphFont"/>
    <w:uiPriority w:val="99"/>
    <w:semiHidden/>
    <w:unhideWhenUsed/>
    <w:rsid w:val="003B03DC"/>
    <w:rPr>
      <w:vertAlign w:val="superscript"/>
    </w:rPr>
  </w:style>
  <w:style w:type="paragraph" w:customStyle="1" w:styleId="EndNoteBibliographyTitle">
    <w:name w:val="EndNote Bibliography Title"/>
    <w:basedOn w:val="Normal"/>
    <w:link w:val="EndNoteBibliographyTitleChar"/>
    <w:rsid w:val="003B03DC"/>
    <w:pPr>
      <w:spacing w:after="0"/>
      <w:jc w:val="center"/>
    </w:pPr>
    <w:rPr>
      <w:noProof/>
      <w:lang w:val="en-SE"/>
    </w:rPr>
  </w:style>
  <w:style w:type="character" w:customStyle="1" w:styleId="EndNoteBibliographyTitleChar">
    <w:name w:val="EndNote Bibliography Title Char"/>
    <w:basedOn w:val="DefaultParagraphFont"/>
    <w:link w:val="EndNoteBibliographyTitle"/>
    <w:rsid w:val="003B03DC"/>
    <w:rPr>
      <w:noProof/>
      <w:lang w:val="en-SE"/>
    </w:rPr>
  </w:style>
  <w:style w:type="paragraph" w:customStyle="1" w:styleId="EndNoteBibliography">
    <w:name w:val="EndNote Bibliography"/>
    <w:basedOn w:val="Normal"/>
    <w:link w:val="EndNoteBibliographyChar"/>
    <w:rsid w:val="003B03DC"/>
    <w:pPr>
      <w:spacing w:line="240" w:lineRule="auto"/>
    </w:pPr>
    <w:rPr>
      <w:noProof/>
      <w:lang w:val="en-SE"/>
    </w:rPr>
  </w:style>
  <w:style w:type="character" w:customStyle="1" w:styleId="EndNoteBibliographyChar">
    <w:name w:val="EndNote Bibliography Char"/>
    <w:basedOn w:val="DefaultParagraphFont"/>
    <w:link w:val="EndNoteBibliography"/>
    <w:rsid w:val="003B03DC"/>
    <w:rPr>
      <w:noProof/>
      <w:lang w:val="en-SE"/>
    </w:rPr>
  </w:style>
  <w:style w:type="paragraph" w:styleId="Caption">
    <w:name w:val="caption"/>
    <w:basedOn w:val="Normal"/>
    <w:next w:val="Normal"/>
    <w:uiPriority w:val="35"/>
    <w:unhideWhenUsed/>
    <w:qFormat/>
    <w:rsid w:val="00EF1B3F"/>
    <w:pPr>
      <w:spacing w:after="200" w:line="240" w:lineRule="auto"/>
    </w:pPr>
    <w:rPr>
      <w:i/>
      <w:iCs/>
      <w:color w:val="44546A" w:themeColor="text2"/>
      <w:sz w:val="18"/>
      <w:szCs w:val="18"/>
    </w:r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character" w:customStyle="1" w:styleId="Heading3Char">
    <w:name w:val="Heading 3 Char"/>
    <w:basedOn w:val="DefaultParagraphFont"/>
    <w:link w:val="Heading3"/>
    <w:uiPriority w:val="9"/>
    <w:rsid w:val="008B6FE4"/>
    <w:rPr>
      <w:b/>
      <w:sz w:val="28"/>
      <w:szCs w:val="28"/>
    </w:rPr>
  </w:style>
  <w:style w:type="character" w:styleId="FollowedHyperlink">
    <w:name w:val="FollowedHyperlink"/>
    <w:basedOn w:val="DefaultParagraphFont"/>
    <w:uiPriority w:val="99"/>
    <w:semiHidden/>
    <w:unhideWhenUsed/>
    <w:rsid w:val="00324A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sam.van.es@slu.se"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7" Type="http://schemas.openxmlformats.org/officeDocument/2006/relationships/hyperlink" Target="mailto:ezgi.mehmetoglu@slu.se"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aimer.gutierrez.diaz@slu.se"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imagej.net/software/fiji/downloads" TargetMode="Externa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NHYd1DfbW0awOcyctr3WiVZHbA==">CgMxLjAyCGguZ2pkZ3hzMgloLjMwajB6bGwyDmgud2M0ajhpa29ybmN4OAByITFfZjJaQ3p1R1NUeU4tNjJaYVRPcDc2cXZPd1E1OHlEbA==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1151</Words>
  <Characters>6567</Characters>
  <Application>Microsoft Office Word</Application>
  <DocSecurity>0</DocSecurity>
  <Lines>54</Lines>
  <Paragraphs>15</Paragraphs>
  <ScaleCrop>false</ScaleCrop>
  <Company/>
  <LinksUpToDate>false</LinksUpToDate>
  <CharactersWithSpaces>7703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Gesa Hoffmann</dc:creator>
  <cp:lastModifiedBy>Aimer Gutierrez Diaz</cp:lastModifiedBy>
  <cp:revision>2</cp:revision>
  <dcterms:created xsi:type="dcterms:W3CDTF">2024-11-21T14:13:00Z</dcterms:created>
  <dcterms:modified xsi:type="dcterms:W3CDTF">2024-12-13T10:53:00Z</dcterms:modified>
</cp:coreProperties>
</file>